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1" w:rsidRPr="00D54FB0" w:rsidRDefault="00801671" w:rsidP="00F42EE3">
      <w:pPr>
        <w:pStyle w:val="Heading1"/>
        <w:jc w:val="center"/>
        <w:rPr>
          <w:rFonts w:ascii="Times New Roman" w:hAnsi="Times New Roman"/>
          <w:color w:val="auto"/>
        </w:rPr>
      </w:pPr>
      <w:r w:rsidRPr="00D54FB0">
        <w:rPr>
          <w:rFonts w:ascii="Times New Roman" w:hAnsi="Times New Roman"/>
          <w:color w:val="auto"/>
        </w:rPr>
        <w:t xml:space="preserve">DANH MỤC NHIỆM VỤ </w:t>
      </w:r>
      <w:r>
        <w:rPr>
          <w:rFonts w:ascii="Times New Roman" w:hAnsi="Times New Roman"/>
          <w:color w:val="auto"/>
        </w:rPr>
        <w:t xml:space="preserve">KHOA HỌC VÀ CÔNG NGHỆ </w:t>
      </w:r>
      <w:r w:rsidRPr="00D54FB0">
        <w:rPr>
          <w:rFonts w:ascii="Times New Roman" w:hAnsi="Times New Roman"/>
          <w:color w:val="auto"/>
        </w:rPr>
        <w:t xml:space="preserve">ĐẶT HÀNG </w:t>
      </w:r>
      <w:r>
        <w:rPr>
          <w:rFonts w:ascii="Times New Roman" w:hAnsi="Times New Roman"/>
          <w:color w:val="auto"/>
        </w:rPr>
        <w:t xml:space="preserve">CẤP TỈNH SỬ DỤNG NGÂN SÁCH NHÀ NƯỚC </w:t>
      </w:r>
      <w:r w:rsidR="00F42EE3" w:rsidRPr="00F42EE3">
        <w:rPr>
          <w:rFonts w:ascii="Times New Roman" w:hAnsi="Times New Roman"/>
          <w:color w:val="auto"/>
        </w:rPr>
        <w:t>THỰC HIỆN TỪ NĂM 2024 (LĨNH VỰC NÔNG NGHIỆP VÀ PHÁT TRIỂN NÔNG THÔN)</w:t>
      </w:r>
    </w:p>
    <w:p w:rsidR="00801671" w:rsidRPr="009C5B9A" w:rsidRDefault="00801671" w:rsidP="00801671">
      <w:pPr>
        <w:pStyle w:val="Giua"/>
      </w:pPr>
      <w:r w:rsidRPr="009C5B9A">
        <w:t xml:space="preserve"> (Kèm theo </w:t>
      </w:r>
      <w:r w:rsidR="00966112">
        <w:t>Thông báo số</w:t>
      </w:r>
      <w:r w:rsidRPr="009C5B9A">
        <w:t>………./</w:t>
      </w:r>
      <w:r w:rsidR="00966112">
        <w:t>TB</w:t>
      </w:r>
      <w:r w:rsidRPr="009C5B9A">
        <w:t>-</w:t>
      </w:r>
      <w:r w:rsidR="00966112">
        <w:t>SKHCN</w:t>
      </w:r>
      <w:r w:rsidR="00BD4000">
        <w:t xml:space="preserve"> </w:t>
      </w:r>
      <w:r w:rsidRPr="009C5B9A">
        <w:t>ngày……../……./20</w:t>
      </w:r>
      <w:r>
        <w:t>2</w:t>
      </w:r>
      <w:r w:rsidR="00AC6B68">
        <w:t xml:space="preserve">5 </w:t>
      </w:r>
      <w:r w:rsidRPr="009C5B9A">
        <w:t xml:space="preserve">của </w:t>
      </w:r>
      <w:r w:rsidR="00966112">
        <w:t>Sở Khoa học và Công nghệ</w:t>
      </w:r>
      <w:r w:rsidRPr="009C5B9A">
        <w:t xml:space="preserve"> tỉnh Ninh Thuận</w:t>
      </w:r>
      <w:r>
        <w:t>)</w:t>
      </w:r>
      <w:bookmarkStart w:id="0" w:name="_GoBack"/>
      <w:bookmarkEnd w:id="0"/>
    </w:p>
    <w:p w:rsidR="00801671" w:rsidRDefault="00801671" w:rsidP="00801671">
      <w:pPr>
        <w:pStyle w:val="Giu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55"/>
        <w:gridCol w:w="4152"/>
        <w:gridCol w:w="4880"/>
        <w:gridCol w:w="1384"/>
        <w:gridCol w:w="1372"/>
      </w:tblGrid>
      <w:tr w:rsidR="004A516B" w:rsidRPr="00932A50" w:rsidTr="007247B2">
        <w:trPr>
          <w:trHeight w:val="684"/>
          <w:tblHeader/>
        </w:trPr>
        <w:tc>
          <w:tcPr>
            <w:tcW w:w="184" w:type="pct"/>
            <w:shd w:val="clear" w:color="auto" w:fill="auto"/>
          </w:tcPr>
          <w:p w:rsidR="004A516B" w:rsidRPr="00932A50" w:rsidRDefault="004A516B" w:rsidP="00FA0C54">
            <w:pPr>
              <w:ind w:left="-142" w:right="-109"/>
              <w:jc w:val="center"/>
              <w:rPr>
                <w:b/>
                <w:bCs/>
                <w:sz w:val="28"/>
                <w:szCs w:val="28"/>
              </w:rPr>
            </w:pPr>
            <w:r w:rsidRPr="00932A50">
              <w:rPr>
                <w:b/>
                <w:bCs/>
                <w:sz w:val="28"/>
                <w:szCs w:val="28"/>
              </w:rPr>
              <w:t>TT</w:t>
            </w:r>
          </w:p>
        </w:tc>
        <w:tc>
          <w:tcPr>
            <w:tcW w:w="830" w:type="pct"/>
            <w:shd w:val="clear" w:color="auto" w:fill="auto"/>
          </w:tcPr>
          <w:p w:rsidR="004A516B" w:rsidRPr="00932A50" w:rsidRDefault="004A516B" w:rsidP="00FA0C54">
            <w:pPr>
              <w:jc w:val="center"/>
              <w:rPr>
                <w:b/>
                <w:bCs/>
                <w:sz w:val="28"/>
                <w:szCs w:val="28"/>
              </w:rPr>
            </w:pPr>
            <w:r w:rsidRPr="00932A50">
              <w:rPr>
                <w:b/>
                <w:bCs/>
                <w:sz w:val="28"/>
                <w:szCs w:val="28"/>
              </w:rPr>
              <w:t>Tên nhiệm vụ</w:t>
            </w:r>
          </w:p>
        </w:tc>
        <w:tc>
          <w:tcPr>
            <w:tcW w:w="1404" w:type="pct"/>
          </w:tcPr>
          <w:p w:rsidR="004A516B" w:rsidRPr="00932A50" w:rsidRDefault="004A516B" w:rsidP="00FA0C54">
            <w:pPr>
              <w:jc w:val="center"/>
              <w:rPr>
                <w:b/>
                <w:bCs/>
                <w:sz w:val="28"/>
                <w:szCs w:val="28"/>
              </w:rPr>
            </w:pPr>
            <w:r w:rsidRPr="00932A50">
              <w:rPr>
                <w:b/>
                <w:bCs/>
                <w:sz w:val="28"/>
                <w:szCs w:val="28"/>
              </w:rPr>
              <w:t>Định hướng mục tiêu</w:t>
            </w:r>
          </w:p>
        </w:tc>
        <w:tc>
          <w:tcPr>
            <w:tcW w:w="1650" w:type="pct"/>
          </w:tcPr>
          <w:p w:rsidR="004A516B" w:rsidRPr="00932A50" w:rsidRDefault="004A516B" w:rsidP="00FA0C54">
            <w:pPr>
              <w:jc w:val="center"/>
              <w:rPr>
                <w:b/>
                <w:bCs/>
                <w:sz w:val="28"/>
                <w:szCs w:val="28"/>
              </w:rPr>
            </w:pPr>
            <w:r w:rsidRPr="00932A50">
              <w:rPr>
                <w:b/>
                <w:bCs/>
                <w:sz w:val="28"/>
                <w:szCs w:val="28"/>
              </w:rPr>
              <w:t>Sản phẩm dự kiến</w:t>
            </w:r>
          </w:p>
        </w:tc>
        <w:tc>
          <w:tcPr>
            <w:tcW w:w="468" w:type="pct"/>
            <w:shd w:val="clear" w:color="auto" w:fill="auto"/>
          </w:tcPr>
          <w:p w:rsidR="004A516B" w:rsidRPr="00932A50" w:rsidRDefault="004A516B" w:rsidP="00FA0C54">
            <w:pPr>
              <w:jc w:val="center"/>
              <w:rPr>
                <w:b/>
                <w:bCs/>
                <w:sz w:val="28"/>
                <w:szCs w:val="28"/>
              </w:rPr>
            </w:pPr>
            <w:r w:rsidRPr="00932A50">
              <w:rPr>
                <w:b/>
                <w:bCs/>
                <w:sz w:val="28"/>
                <w:szCs w:val="28"/>
              </w:rPr>
              <w:t xml:space="preserve">Phương thức </w:t>
            </w:r>
          </w:p>
          <w:p w:rsidR="004A516B" w:rsidRPr="00932A50" w:rsidRDefault="004A516B" w:rsidP="00FA0C54">
            <w:pPr>
              <w:jc w:val="center"/>
              <w:rPr>
                <w:bCs/>
                <w:i/>
                <w:sz w:val="28"/>
                <w:szCs w:val="28"/>
              </w:rPr>
            </w:pPr>
            <w:r w:rsidRPr="00932A50">
              <w:rPr>
                <w:b/>
                <w:bCs/>
                <w:sz w:val="28"/>
                <w:szCs w:val="28"/>
              </w:rPr>
              <w:t>thực hiện</w:t>
            </w:r>
          </w:p>
        </w:tc>
        <w:tc>
          <w:tcPr>
            <w:tcW w:w="464" w:type="pct"/>
          </w:tcPr>
          <w:p w:rsidR="004A516B" w:rsidRPr="00932A50" w:rsidRDefault="007E776F" w:rsidP="00FA0C54">
            <w:pPr>
              <w:jc w:val="center"/>
              <w:rPr>
                <w:b/>
                <w:bCs/>
                <w:sz w:val="28"/>
                <w:szCs w:val="28"/>
              </w:rPr>
            </w:pPr>
            <w:r>
              <w:rPr>
                <w:b/>
                <w:bCs/>
                <w:sz w:val="28"/>
                <w:szCs w:val="28"/>
              </w:rPr>
              <w:t xml:space="preserve">Nguồn vốn </w:t>
            </w:r>
          </w:p>
        </w:tc>
      </w:tr>
      <w:tr w:rsidR="00D41515" w:rsidRPr="00F622E5" w:rsidTr="00E56429">
        <w:tc>
          <w:tcPr>
            <w:tcW w:w="184" w:type="pct"/>
            <w:tcBorders>
              <w:top w:val="single" w:sz="4" w:space="0" w:color="auto"/>
              <w:bottom w:val="single" w:sz="4" w:space="0" w:color="auto"/>
            </w:tcBorders>
            <w:shd w:val="clear" w:color="auto" w:fill="auto"/>
            <w:vAlign w:val="center"/>
          </w:tcPr>
          <w:p w:rsidR="00D41515" w:rsidRDefault="00815CDD" w:rsidP="00FF0B4A">
            <w:pPr>
              <w:spacing w:before="120" w:after="120"/>
              <w:jc w:val="center"/>
              <w:rPr>
                <w:sz w:val="28"/>
                <w:szCs w:val="28"/>
              </w:rPr>
            </w:pPr>
            <w:r>
              <w:rPr>
                <w:sz w:val="28"/>
                <w:szCs w:val="28"/>
              </w:rPr>
              <w:t>1</w:t>
            </w:r>
          </w:p>
        </w:tc>
        <w:tc>
          <w:tcPr>
            <w:tcW w:w="830" w:type="pct"/>
            <w:tcBorders>
              <w:top w:val="single" w:sz="4" w:space="0" w:color="auto"/>
              <w:bottom w:val="single" w:sz="4" w:space="0" w:color="auto"/>
            </w:tcBorders>
            <w:shd w:val="clear" w:color="auto" w:fill="auto"/>
            <w:vAlign w:val="center"/>
          </w:tcPr>
          <w:p w:rsidR="00D41515" w:rsidRPr="005F5A27" w:rsidRDefault="00D41515" w:rsidP="00FF0B4A">
            <w:pPr>
              <w:spacing w:before="120" w:after="120"/>
              <w:jc w:val="both"/>
              <w:rPr>
                <w:sz w:val="28"/>
                <w:szCs w:val="26"/>
              </w:rPr>
            </w:pPr>
            <w:r>
              <w:rPr>
                <w:b/>
                <w:sz w:val="28"/>
                <w:szCs w:val="28"/>
              </w:rPr>
              <w:t>Đề tài</w:t>
            </w:r>
            <w:r w:rsidRPr="00676573">
              <w:rPr>
                <w:sz w:val="28"/>
                <w:szCs w:val="28"/>
              </w:rPr>
              <w:t>:</w:t>
            </w:r>
            <w:r>
              <w:rPr>
                <w:sz w:val="28"/>
                <w:szCs w:val="28"/>
              </w:rPr>
              <w:t xml:space="preserve"> Nghiên cứu ứng dụng các biện pháp kỹ thuật </w:t>
            </w:r>
            <w:r>
              <w:rPr>
                <w:bCs/>
                <w:sz w:val="28"/>
                <w:szCs w:val="28"/>
              </w:rPr>
              <w:t>tiên tiến trong bảo quản gắn với canh tác</w:t>
            </w:r>
            <w:r>
              <w:rPr>
                <w:sz w:val="28"/>
                <w:szCs w:val="28"/>
              </w:rPr>
              <w:t xml:space="preserve"> nhằm nâng cao chất lượng bảo quản sản phẩm </w:t>
            </w:r>
            <w:r w:rsidRPr="00644FA7">
              <w:rPr>
                <w:iCs/>
                <w:sz w:val="28"/>
                <w:szCs w:val="28"/>
                <w:lang w:val="vi-VN"/>
              </w:rPr>
              <w:t xml:space="preserve">măng tây </w:t>
            </w:r>
            <w:r>
              <w:rPr>
                <w:iCs/>
                <w:sz w:val="28"/>
                <w:szCs w:val="28"/>
                <w:lang w:val="vi-VN"/>
              </w:rPr>
              <w:t>xanh</w:t>
            </w:r>
            <w:r>
              <w:rPr>
                <w:iCs/>
                <w:sz w:val="28"/>
                <w:szCs w:val="28"/>
              </w:rPr>
              <w:t xml:space="preserve"> tại tỉnh Ninh Thuận.</w:t>
            </w:r>
          </w:p>
        </w:tc>
        <w:tc>
          <w:tcPr>
            <w:tcW w:w="1404" w:type="pct"/>
            <w:tcBorders>
              <w:top w:val="single" w:sz="4" w:space="0" w:color="auto"/>
              <w:bottom w:val="single" w:sz="4" w:space="0" w:color="auto"/>
            </w:tcBorders>
            <w:vAlign w:val="center"/>
          </w:tcPr>
          <w:p w:rsidR="00D41515" w:rsidRDefault="00D41515" w:rsidP="00FF0B4A">
            <w:pPr>
              <w:spacing w:before="120" w:after="120"/>
              <w:jc w:val="both"/>
              <w:rPr>
                <w:bCs/>
                <w:sz w:val="28"/>
                <w:szCs w:val="28"/>
              </w:rPr>
            </w:pPr>
            <w:r>
              <w:rPr>
                <w:bCs/>
                <w:sz w:val="28"/>
                <w:szCs w:val="28"/>
              </w:rPr>
              <w:t>- Điều tra thực trạng sản xuất gắn với bảo quản tại các vùng sản xuất măng tây xanh trọng điểm của tỉnh Ninh Thuận về đất, nước, giống, kỹ thuật canh tác, bảo quản, tác nhân gây hại (trước và sau bảo quản), tỷ lệ hao hụt,…</w:t>
            </w:r>
          </w:p>
          <w:p w:rsidR="00D41515" w:rsidRDefault="00D41515" w:rsidP="00FF0B4A">
            <w:pPr>
              <w:spacing w:before="120" w:after="120"/>
              <w:jc w:val="both"/>
              <w:rPr>
                <w:bCs/>
                <w:sz w:val="28"/>
                <w:szCs w:val="28"/>
              </w:rPr>
            </w:pPr>
            <w:r>
              <w:rPr>
                <w:bCs/>
                <w:sz w:val="28"/>
                <w:szCs w:val="28"/>
              </w:rPr>
              <w:t>- Nghiên cứu ứng dụng các biện pháp kỹ thuật tiên tiến trong bảo quản gắn với canh tác nhằm hạn chế tối đa tỷ lệ hư hỏng sau khi bảo quản.</w:t>
            </w:r>
          </w:p>
          <w:p w:rsidR="00D41515" w:rsidRPr="00891793" w:rsidRDefault="00D41515" w:rsidP="00FF0B4A">
            <w:pPr>
              <w:spacing w:before="120" w:after="120"/>
              <w:jc w:val="both"/>
              <w:rPr>
                <w:bCs/>
                <w:color w:val="FF0000"/>
                <w:sz w:val="28"/>
                <w:szCs w:val="28"/>
              </w:rPr>
            </w:pPr>
            <w:r>
              <w:rPr>
                <w:bCs/>
                <w:sz w:val="28"/>
                <w:szCs w:val="28"/>
              </w:rPr>
              <w:t xml:space="preserve">- Xây dựng quy trình khép kín bảo quản măng tây xanh gắn với các biện pháp canh tác, sản phẩm </w:t>
            </w:r>
            <w:r>
              <w:rPr>
                <w:iCs/>
                <w:sz w:val="28"/>
                <w:szCs w:val="28"/>
                <w:lang w:val="vi-VN"/>
              </w:rPr>
              <w:t>đáp ứng tiêu chuẩn TCVN 11410:2016</w:t>
            </w:r>
            <w:r>
              <w:rPr>
                <w:iCs/>
                <w:sz w:val="28"/>
                <w:szCs w:val="28"/>
              </w:rPr>
              <w:t xml:space="preserve">, </w:t>
            </w:r>
            <w:r w:rsidRPr="00723207">
              <w:rPr>
                <w:iCs/>
                <w:sz w:val="28"/>
                <w:szCs w:val="28"/>
                <w:lang w:val="vi-VN"/>
              </w:rPr>
              <w:t xml:space="preserve">tỷ lệ tổn thất </w:t>
            </w:r>
            <w:r w:rsidRPr="00723207">
              <w:rPr>
                <w:iCs/>
                <w:sz w:val="28"/>
                <w:szCs w:val="28"/>
                <w:lang w:val="vi-VN"/>
              </w:rPr>
              <w:sym w:font="Symbol" w:char="F03C"/>
            </w:r>
            <w:r w:rsidRPr="00723207">
              <w:rPr>
                <w:iCs/>
                <w:sz w:val="28"/>
                <w:szCs w:val="28"/>
                <w:lang w:val="vi-VN"/>
              </w:rPr>
              <w:t>10%,</w:t>
            </w:r>
            <w:r w:rsidRPr="00723207">
              <w:rPr>
                <w:bCs/>
                <w:sz w:val="28"/>
                <w:szCs w:val="28"/>
              </w:rPr>
              <w:t xml:space="preserve"> thời hạn bảo quản </w:t>
            </w:r>
            <w:r w:rsidRPr="00723207">
              <w:rPr>
                <w:iCs/>
                <w:sz w:val="28"/>
                <w:szCs w:val="28"/>
                <w:lang w:val="vi-VN"/>
              </w:rPr>
              <w:t>&gt; 12 ngày</w:t>
            </w:r>
            <w:r w:rsidRPr="00723207">
              <w:rPr>
                <w:bCs/>
                <w:sz w:val="28"/>
                <w:szCs w:val="28"/>
              </w:rPr>
              <w:t>.</w:t>
            </w:r>
          </w:p>
        </w:tc>
        <w:tc>
          <w:tcPr>
            <w:tcW w:w="1650" w:type="pct"/>
            <w:tcBorders>
              <w:top w:val="single" w:sz="4" w:space="0" w:color="auto"/>
              <w:bottom w:val="single" w:sz="4" w:space="0" w:color="auto"/>
            </w:tcBorders>
            <w:vAlign w:val="center"/>
          </w:tcPr>
          <w:p w:rsidR="00D41515" w:rsidRDefault="00D41515" w:rsidP="00FF0B4A">
            <w:pPr>
              <w:spacing w:before="120" w:after="120"/>
              <w:jc w:val="both"/>
              <w:rPr>
                <w:iCs/>
                <w:sz w:val="28"/>
                <w:szCs w:val="28"/>
              </w:rPr>
            </w:pPr>
            <w:r>
              <w:rPr>
                <w:iCs/>
                <w:sz w:val="28"/>
                <w:szCs w:val="28"/>
              </w:rPr>
              <w:t xml:space="preserve">- Báo cáo kết quả điều tra khảo sát </w:t>
            </w:r>
            <w:r>
              <w:rPr>
                <w:bCs/>
                <w:sz w:val="28"/>
                <w:szCs w:val="28"/>
              </w:rPr>
              <w:t>thực trạng sản xuất và bảo quản măng tây</w:t>
            </w:r>
            <w:r>
              <w:rPr>
                <w:iCs/>
                <w:sz w:val="28"/>
                <w:szCs w:val="28"/>
              </w:rPr>
              <w:t>.</w:t>
            </w:r>
          </w:p>
          <w:p w:rsidR="00D41515" w:rsidRPr="005B4549" w:rsidRDefault="00D41515" w:rsidP="00FF0B4A">
            <w:pPr>
              <w:spacing w:before="120" w:after="120"/>
              <w:jc w:val="both"/>
              <w:rPr>
                <w:iCs/>
                <w:sz w:val="28"/>
                <w:szCs w:val="28"/>
              </w:rPr>
            </w:pPr>
            <w:r>
              <w:rPr>
                <w:iCs/>
                <w:sz w:val="28"/>
                <w:szCs w:val="28"/>
              </w:rPr>
              <w:t>- Mô hình bảo quản m</w:t>
            </w:r>
            <w:r>
              <w:rPr>
                <w:iCs/>
                <w:sz w:val="28"/>
                <w:szCs w:val="28"/>
                <w:lang w:val="vi-VN"/>
              </w:rPr>
              <w:t>ăng tây</w:t>
            </w:r>
            <w:r>
              <w:rPr>
                <w:iCs/>
                <w:sz w:val="28"/>
                <w:szCs w:val="28"/>
              </w:rPr>
              <w:t xml:space="preserve"> tươi quy mô</w:t>
            </w:r>
            <w:r>
              <w:rPr>
                <w:iCs/>
                <w:sz w:val="28"/>
                <w:szCs w:val="28"/>
                <w:lang w:val="vi-VN"/>
              </w:rPr>
              <w:t xml:space="preserve"> 200 kg</w:t>
            </w:r>
            <w:r>
              <w:rPr>
                <w:iCs/>
                <w:sz w:val="28"/>
                <w:szCs w:val="28"/>
              </w:rPr>
              <w:t xml:space="preserve">, sản phẩm </w:t>
            </w:r>
            <w:r>
              <w:rPr>
                <w:iCs/>
                <w:sz w:val="28"/>
                <w:szCs w:val="28"/>
                <w:lang w:val="vi-VN"/>
              </w:rPr>
              <w:t>đáp ứng tiêu chuẩn TCVN 11410:2016</w:t>
            </w:r>
            <w:r>
              <w:rPr>
                <w:iCs/>
                <w:sz w:val="28"/>
                <w:szCs w:val="28"/>
              </w:rPr>
              <w:t xml:space="preserve">, </w:t>
            </w:r>
            <w:r>
              <w:rPr>
                <w:iCs/>
                <w:sz w:val="28"/>
                <w:szCs w:val="28"/>
                <w:lang w:val="vi-VN"/>
              </w:rPr>
              <w:t xml:space="preserve">tỷ lệ tổn thất </w:t>
            </w:r>
            <w:r>
              <w:rPr>
                <w:iCs/>
                <w:sz w:val="28"/>
                <w:szCs w:val="28"/>
                <w:lang w:val="vi-VN"/>
              </w:rPr>
              <w:sym w:font="Symbol" w:char="F03C"/>
            </w:r>
            <w:r>
              <w:rPr>
                <w:iCs/>
                <w:sz w:val="28"/>
                <w:szCs w:val="28"/>
                <w:lang w:val="vi-VN"/>
              </w:rPr>
              <w:t>10%,</w:t>
            </w:r>
            <w:r w:rsidRPr="005B4549">
              <w:rPr>
                <w:bCs/>
                <w:sz w:val="28"/>
                <w:szCs w:val="28"/>
              </w:rPr>
              <w:t xml:space="preserve"> </w:t>
            </w:r>
            <w:r>
              <w:rPr>
                <w:bCs/>
                <w:sz w:val="28"/>
                <w:szCs w:val="28"/>
              </w:rPr>
              <w:t xml:space="preserve">thời hạn bảo quản </w:t>
            </w:r>
            <w:r>
              <w:rPr>
                <w:iCs/>
                <w:sz w:val="28"/>
                <w:szCs w:val="28"/>
                <w:lang w:val="vi-VN"/>
              </w:rPr>
              <w:t>&gt; 12 ngày</w:t>
            </w:r>
            <w:r>
              <w:rPr>
                <w:iCs/>
                <w:sz w:val="28"/>
                <w:szCs w:val="28"/>
              </w:rPr>
              <w:t>.</w:t>
            </w:r>
          </w:p>
          <w:p w:rsidR="00D41515" w:rsidRDefault="00D41515" w:rsidP="00FF0B4A">
            <w:pPr>
              <w:spacing w:before="120" w:after="120"/>
              <w:jc w:val="both"/>
              <w:rPr>
                <w:bCs/>
                <w:sz w:val="28"/>
                <w:szCs w:val="28"/>
              </w:rPr>
            </w:pPr>
            <w:r>
              <w:rPr>
                <w:bCs/>
                <w:sz w:val="28"/>
                <w:szCs w:val="28"/>
              </w:rPr>
              <w:t xml:space="preserve">- Quy trình khép kín bảo quản măng tây xanh gắn với các biện pháp canh tác, </w:t>
            </w:r>
            <w:r>
              <w:rPr>
                <w:iCs/>
                <w:sz w:val="28"/>
                <w:szCs w:val="28"/>
              </w:rPr>
              <w:t>được Hội đồng nghiệm thu cấp tỉnh thông qua</w:t>
            </w:r>
            <w:r>
              <w:rPr>
                <w:bCs/>
                <w:sz w:val="28"/>
                <w:szCs w:val="28"/>
              </w:rPr>
              <w:t>.</w:t>
            </w:r>
          </w:p>
          <w:p w:rsidR="00D41515" w:rsidRPr="00B33043" w:rsidRDefault="00D41515" w:rsidP="00FF0B4A">
            <w:pPr>
              <w:spacing w:before="120" w:after="120"/>
              <w:jc w:val="both"/>
              <w:rPr>
                <w:b/>
                <w:sz w:val="28"/>
                <w:szCs w:val="28"/>
              </w:rPr>
            </w:pPr>
            <w:r w:rsidRPr="00B33043">
              <w:rPr>
                <w:iCs/>
                <w:sz w:val="28"/>
                <w:szCs w:val="28"/>
              </w:rPr>
              <w:t>-</w:t>
            </w:r>
            <w:r w:rsidRPr="00B33043">
              <w:rPr>
                <w:iCs/>
                <w:sz w:val="28"/>
                <w:szCs w:val="28"/>
                <w:lang w:val="vi-VN"/>
              </w:rPr>
              <w:t xml:space="preserve"> 01-02 bài báo đăng trên tạp chí chuyên ngành</w:t>
            </w:r>
          </w:p>
          <w:p w:rsidR="00D41515" w:rsidRPr="00863A71" w:rsidRDefault="00D41515" w:rsidP="00FF0B4A">
            <w:pPr>
              <w:spacing w:before="120" w:after="120"/>
              <w:ind w:firstLine="308"/>
              <w:jc w:val="both"/>
              <w:rPr>
                <w:sz w:val="28"/>
                <w:szCs w:val="28"/>
              </w:rPr>
            </w:pPr>
          </w:p>
        </w:tc>
        <w:tc>
          <w:tcPr>
            <w:tcW w:w="468" w:type="pct"/>
            <w:tcBorders>
              <w:top w:val="single" w:sz="4" w:space="0" w:color="auto"/>
              <w:bottom w:val="single" w:sz="4" w:space="0" w:color="auto"/>
            </w:tcBorders>
            <w:shd w:val="clear" w:color="auto" w:fill="auto"/>
            <w:vAlign w:val="center"/>
          </w:tcPr>
          <w:p w:rsidR="00D41515" w:rsidRPr="003E21A2" w:rsidRDefault="00D41515" w:rsidP="00FF0B4A">
            <w:pPr>
              <w:widowControl w:val="0"/>
              <w:spacing w:before="120" w:after="120"/>
              <w:jc w:val="both"/>
              <w:rPr>
                <w:bCs/>
                <w:sz w:val="28"/>
                <w:szCs w:val="26"/>
              </w:rPr>
            </w:pPr>
            <w:r w:rsidRPr="003E21A2">
              <w:rPr>
                <w:bCs/>
                <w:sz w:val="28"/>
                <w:szCs w:val="26"/>
              </w:rPr>
              <w:t>Tuyển chọn tổ chức chủ trì, cá nhân chủ nhiệm</w:t>
            </w:r>
            <w:r>
              <w:rPr>
                <w:bCs/>
                <w:sz w:val="28"/>
                <w:szCs w:val="26"/>
              </w:rPr>
              <w:t>.</w:t>
            </w:r>
          </w:p>
        </w:tc>
        <w:tc>
          <w:tcPr>
            <w:tcW w:w="464" w:type="pct"/>
            <w:tcBorders>
              <w:top w:val="single" w:sz="4" w:space="0" w:color="auto"/>
              <w:bottom w:val="single" w:sz="4" w:space="0" w:color="auto"/>
            </w:tcBorders>
            <w:vAlign w:val="center"/>
          </w:tcPr>
          <w:p w:rsidR="00D41515" w:rsidRPr="003E21A2" w:rsidRDefault="00D41515" w:rsidP="00FF0B4A">
            <w:pPr>
              <w:widowControl w:val="0"/>
              <w:spacing w:before="120" w:after="120"/>
              <w:ind w:left="-57" w:right="-57"/>
              <w:jc w:val="both"/>
              <w:rPr>
                <w:bCs/>
                <w:sz w:val="28"/>
                <w:szCs w:val="26"/>
              </w:rPr>
            </w:pPr>
            <w:r w:rsidRPr="003E21A2">
              <w:rPr>
                <w:bCs/>
                <w:sz w:val="28"/>
                <w:szCs w:val="26"/>
              </w:rPr>
              <w:t>Ngân sách sự nghiệp khoa học và công nghệ</w:t>
            </w:r>
            <w:r>
              <w:rPr>
                <w:bCs/>
                <w:sz w:val="28"/>
                <w:szCs w:val="26"/>
              </w:rPr>
              <w:t>;</w:t>
            </w:r>
            <w:r w:rsidRPr="00097888">
              <w:rPr>
                <w:bCs/>
                <w:sz w:val="28"/>
              </w:rPr>
              <w:t xml:space="preserve"> huy động các nguồn vốn hợp pháp khác để triển khai thực hiện </w:t>
            </w:r>
            <w:r>
              <w:rPr>
                <w:bCs/>
                <w:sz w:val="28"/>
              </w:rPr>
              <w:t>đề tài.</w:t>
            </w:r>
          </w:p>
          <w:p w:rsidR="00D41515" w:rsidRPr="003E21A2" w:rsidRDefault="00D41515" w:rsidP="00FF0B4A">
            <w:pPr>
              <w:widowControl w:val="0"/>
              <w:spacing w:before="120" w:after="120"/>
              <w:jc w:val="both"/>
              <w:rPr>
                <w:sz w:val="28"/>
                <w:szCs w:val="26"/>
              </w:rPr>
            </w:pPr>
          </w:p>
          <w:p w:rsidR="00D41515" w:rsidRPr="003E21A2" w:rsidRDefault="00D41515" w:rsidP="00FF0B4A">
            <w:pPr>
              <w:widowControl w:val="0"/>
              <w:spacing w:before="120" w:after="120"/>
              <w:ind w:left="-57" w:right="-57"/>
              <w:jc w:val="both"/>
              <w:rPr>
                <w:bCs/>
                <w:sz w:val="28"/>
              </w:rPr>
            </w:pPr>
          </w:p>
        </w:tc>
      </w:tr>
    </w:tbl>
    <w:p w:rsidR="00801671" w:rsidRDefault="00801671" w:rsidP="00801671"/>
    <w:p w:rsidR="00801671" w:rsidRDefault="00801671" w:rsidP="00801671"/>
    <w:p w:rsidR="00801671" w:rsidRDefault="00801671" w:rsidP="00801671"/>
    <w:p w:rsidR="00801671" w:rsidRDefault="00801671"/>
    <w:p w:rsidR="00801671" w:rsidRDefault="00801671"/>
    <w:sectPr w:rsidR="00801671" w:rsidSect="00801671">
      <w:headerReference w:type="default" r:id="rId7"/>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A9" w:rsidRDefault="00C822A9">
      <w:r>
        <w:separator/>
      </w:r>
    </w:p>
  </w:endnote>
  <w:endnote w:type="continuationSeparator" w:id="0">
    <w:p w:rsidR="00C822A9" w:rsidRDefault="00C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A9" w:rsidRDefault="00C822A9">
      <w:r>
        <w:separator/>
      </w:r>
    </w:p>
  </w:footnote>
  <w:footnote w:type="continuationSeparator" w:id="0">
    <w:p w:rsidR="00C822A9" w:rsidRDefault="00C8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8B" w:rsidRDefault="007233CA">
    <w:pPr>
      <w:pStyle w:val="Header"/>
      <w:jc w:val="center"/>
    </w:pPr>
    <w:r>
      <w:fldChar w:fldCharType="begin"/>
    </w:r>
    <w:r w:rsidR="00766E81">
      <w:instrText xml:space="preserve"> PAGE   \* MERGEFORMAT </w:instrText>
    </w:r>
    <w:r>
      <w:fldChar w:fldCharType="separate"/>
    </w:r>
    <w:r w:rsidR="00BD4000">
      <w:rPr>
        <w:noProof/>
      </w:rPr>
      <w:t>1</w:t>
    </w:r>
    <w:r>
      <w:fldChar w:fldCharType="end"/>
    </w:r>
  </w:p>
  <w:p w:rsidR="00556E8B" w:rsidRDefault="00C82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5A6A"/>
    <w:rsid w:val="000634DA"/>
    <w:rsid w:val="00072D56"/>
    <w:rsid w:val="000D3282"/>
    <w:rsid w:val="00156327"/>
    <w:rsid w:val="00180D63"/>
    <w:rsid w:val="002564A2"/>
    <w:rsid w:val="00264678"/>
    <w:rsid w:val="00286005"/>
    <w:rsid w:val="002B0CC2"/>
    <w:rsid w:val="002E761F"/>
    <w:rsid w:val="00307E9F"/>
    <w:rsid w:val="00324A4F"/>
    <w:rsid w:val="00334979"/>
    <w:rsid w:val="0034658B"/>
    <w:rsid w:val="00404DBF"/>
    <w:rsid w:val="00417EDC"/>
    <w:rsid w:val="004A143C"/>
    <w:rsid w:val="004A516B"/>
    <w:rsid w:val="0052315D"/>
    <w:rsid w:val="005520D4"/>
    <w:rsid w:val="00554533"/>
    <w:rsid w:val="005A0C67"/>
    <w:rsid w:val="005A5241"/>
    <w:rsid w:val="005C5FB2"/>
    <w:rsid w:val="00625076"/>
    <w:rsid w:val="00684373"/>
    <w:rsid w:val="007233CA"/>
    <w:rsid w:val="0072374B"/>
    <w:rsid w:val="007247B2"/>
    <w:rsid w:val="00766C7E"/>
    <w:rsid w:val="00766E81"/>
    <w:rsid w:val="007E776F"/>
    <w:rsid w:val="00801671"/>
    <w:rsid w:val="00815CDD"/>
    <w:rsid w:val="00816912"/>
    <w:rsid w:val="00827A18"/>
    <w:rsid w:val="008636EC"/>
    <w:rsid w:val="00866F40"/>
    <w:rsid w:val="00870711"/>
    <w:rsid w:val="00875577"/>
    <w:rsid w:val="00883F70"/>
    <w:rsid w:val="008976B2"/>
    <w:rsid w:val="008B333B"/>
    <w:rsid w:val="008B560E"/>
    <w:rsid w:val="008D0B54"/>
    <w:rsid w:val="008E41A2"/>
    <w:rsid w:val="00910D42"/>
    <w:rsid w:val="009172F9"/>
    <w:rsid w:val="0091752D"/>
    <w:rsid w:val="00966112"/>
    <w:rsid w:val="00974554"/>
    <w:rsid w:val="00982D1B"/>
    <w:rsid w:val="00A0577B"/>
    <w:rsid w:val="00A3094F"/>
    <w:rsid w:val="00AA63E1"/>
    <w:rsid w:val="00AB7536"/>
    <w:rsid w:val="00AC6B68"/>
    <w:rsid w:val="00AF07D2"/>
    <w:rsid w:val="00B1680E"/>
    <w:rsid w:val="00B9772A"/>
    <w:rsid w:val="00BD4000"/>
    <w:rsid w:val="00C260BD"/>
    <w:rsid w:val="00C3507F"/>
    <w:rsid w:val="00C62C89"/>
    <w:rsid w:val="00C7796B"/>
    <w:rsid w:val="00C822A9"/>
    <w:rsid w:val="00D00408"/>
    <w:rsid w:val="00D2043A"/>
    <w:rsid w:val="00D41515"/>
    <w:rsid w:val="00D44312"/>
    <w:rsid w:val="00D86662"/>
    <w:rsid w:val="00D95A6A"/>
    <w:rsid w:val="00DB073B"/>
    <w:rsid w:val="00DB7DE4"/>
    <w:rsid w:val="00DF4420"/>
    <w:rsid w:val="00E23E72"/>
    <w:rsid w:val="00E2474D"/>
    <w:rsid w:val="00E6514B"/>
    <w:rsid w:val="00EB1EC8"/>
    <w:rsid w:val="00EB6AA4"/>
    <w:rsid w:val="00ED26E0"/>
    <w:rsid w:val="00F42EE3"/>
    <w:rsid w:val="00F438DD"/>
    <w:rsid w:val="00F622E5"/>
    <w:rsid w:val="00FB698C"/>
    <w:rsid w:val="00FE4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1">
    <w:name w:val="heading 1"/>
    <w:basedOn w:val="Normal"/>
    <w:next w:val="Normal"/>
    <w:link w:val="Heading1Char"/>
    <w:qFormat/>
    <w:rsid w:val="008016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rPr>
  </w:style>
  <w:style w:type="character" w:customStyle="1" w:styleId="BodyTextChar">
    <w:name w:val="Body Text Char"/>
    <w:basedOn w:val="DefaultParagraphFont"/>
    <w:link w:val="BodyText"/>
    <w:rsid w:val="00D95A6A"/>
    <w:rPr>
      <w:rFonts w:ascii=".VnTime" w:hAnsi=".VnTime"/>
      <w:sz w:val="28"/>
    </w:rPr>
  </w:style>
  <w:style w:type="paragraph" w:styleId="BodyText2">
    <w:name w:val="Body Text 2"/>
    <w:basedOn w:val="Normal"/>
    <w:link w:val="BodyText2Char"/>
    <w:rsid w:val="00D95A6A"/>
    <w:rPr>
      <w:rFonts w:eastAsia="Times New Roman"/>
      <w:sz w:val="28"/>
      <w:szCs w:val="24"/>
    </w:rPr>
  </w:style>
  <w:style w:type="character" w:customStyle="1" w:styleId="BodyText2Char">
    <w:name w:val="Body Text 2 Char"/>
    <w:basedOn w:val="DefaultParagraphFont"/>
    <w:link w:val="BodyText2"/>
    <w:rsid w:val="00D95A6A"/>
    <w:rPr>
      <w:sz w:val="28"/>
      <w:szCs w:val="24"/>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 w:type="character" w:customStyle="1" w:styleId="Heading1Char">
    <w:name w:val="Heading 1 Char"/>
    <w:basedOn w:val="DefaultParagraphFont"/>
    <w:link w:val="Heading1"/>
    <w:rsid w:val="00801671"/>
    <w:rPr>
      <w:rFonts w:asciiTheme="majorHAnsi" w:eastAsiaTheme="majorEastAsia" w:hAnsiTheme="majorHAnsi" w:cstheme="majorBidi"/>
      <w:b/>
      <w:bCs/>
      <w:color w:val="2E74B5" w:themeColor="accent1" w:themeShade="BF"/>
      <w:sz w:val="28"/>
      <w:szCs w:val="28"/>
    </w:rPr>
  </w:style>
  <w:style w:type="paragraph" w:customStyle="1" w:styleId="Giua">
    <w:name w:val="Giua"/>
    <w:basedOn w:val="Normal"/>
    <w:autoRedefine/>
    <w:rsid w:val="00801671"/>
    <w:pPr>
      <w:jc w:val="center"/>
    </w:pPr>
    <w:rPr>
      <w:rFonts w:eastAsia="Times New Roman"/>
      <w:i/>
      <w:spacing w:val="-20"/>
      <w:sz w:val="28"/>
      <w:szCs w:val="28"/>
    </w:rPr>
  </w:style>
  <w:style w:type="character" w:customStyle="1" w:styleId="ListParagraphChar">
    <w:name w:val="List Paragraph Char"/>
    <w:link w:val="ListParagraph"/>
    <w:locked/>
    <w:rsid w:val="00801671"/>
    <w:rPr>
      <w:rFonts w:ascii=".VnTime" w:hAnsi=".VnTime"/>
      <w:sz w:val="28"/>
      <w:szCs w:val="28"/>
    </w:rPr>
  </w:style>
  <w:style w:type="character" w:customStyle="1" w:styleId="Vnbnnidung">
    <w:name w:val="Văn bản nội dung_"/>
    <w:link w:val="Vnbnnidung0"/>
    <w:rsid w:val="00DB7DE4"/>
  </w:style>
  <w:style w:type="paragraph" w:customStyle="1" w:styleId="Vnbnnidung0">
    <w:name w:val="Văn bản nội dung"/>
    <w:basedOn w:val="Normal"/>
    <w:link w:val="Vnbnnidung"/>
    <w:rsid w:val="00DB7DE4"/>
    <w:pPr>
      <w:widowControl w:val="0"/>
      <w:spacing w:after="100" w:line="295" w:lineRule="auto"/>
    </w:pPr>
    <w:rPr>
      <w:rFonts w:eastAsia="Times New Roman"/>
    </w:rPr>
  </w:style>
  <w:style w:type="paragraph" w:styleId="NoSpacing">
    <w:name w:val="No Spacing"/>
    <w:uiPriority w:val="1"/>
    <w:qFormat/>
    <w:rsid w:val="008B333B"/>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6A"/>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D95A6A"/>
    <w:pPr>
      <w:jc w:val="both"/>
    </w:pPr>
    <w:rPr>
      <w:rFonts w:ascii=".VnTime" w:eastAsia="Times New Roman" w:hAnsi=".VnTime"/>
      <w:sz w:val="28"/>
      <w:lang w:val="x-none" w:eastAsia="x-none"/>
    </w:rPr>
  </w:style>
  <w:style w:type="character" w:customStyle="1" w:styleId="BodyTextChar">
    <w:name w:val="Body Text Char"/>
    <w:basedOn w:val="DefaultParagraphFont"/>
    <w:link w:val="BodyText"/>
    <w:rsid w:val="00D95A6A"/>
    <w:rPr>
      <w:rFonts w:ascii=".VnTime" w:hAnsi=".VnTime"/>
      <w:sz w:val="28"/>
      <w:lang w:val="x-none" w:eastAsia="x-none"/>
    </w:rPr>
  </w:style>
  <w:style w:type="paragraph" w:styleId="BodyText2">
    <w:name w:val="Body Text 2"/>
    <w:basedOn w:val="Normal"/>
    <w:link w:val="BodyText2Char"/>
    <w:rsid w:val="00D95A6A"/>
    <w:rPr>
      <w:rFonts w:eastAsia="Times New Roman"/>
      <w:sz w:val="28"/>
      <w:szCs w:val="24"/>
      <w:lang w:val="x-none" w:eastAsia="x-none"/>
    </w:rPr>
  </w:style>
  <w:style w:type="character" w:customStyle="1" w:styleId="BodyText2Char">
    <w:name w:val="Body Text 2 Char"/>
    <w:basedOn w:val="DefaultParagraphFont"/>
    <w:link w:val="BodyText2"/>
    <w:rsid w:val="00D95A6A"/>
    <w:rPr>
      <w:sz w:val="28"/>
      <w:szCs w:val="24"/>
      <w:lang w:val="x-none" w:eastAsia="x-none"/>
    </w:rPr>
  </w:style>
  <w:style w:type="paragraph" w:styleId="Header">
    <w:name w:val="header"/>
    <w:basedOn w:val="Normal"/>
    <w:link w:val="HeaderChar"/>
    <w:uiPriority w:val="99"/>
    <w:unhideWhenUsed/>
    <w:rsid w:val="00D95A6A"/>
    <w:pPr>
      <w:tabs>
        <w:tab w:val="center" w:pos="4680"/>
        <w:tab w:val="right" w:pos="9360"/>
      </w:tabs>
    </w:pPr>
    <w:rPr>
      <w:rFonts w:eastAsia="Times New Roman"/>
      <w:sz w:val="28"/>
      <w:szCs w:val="28"/>
    </w:rPr>
  </w:style>
  <w:style w:type="character" w:customStyle="1" w:styleId="HeaderChar">
    <w:name w:val="Header Char"/>
    <w:basedOn w:val="DefaultParagraphFont"/>
    <w:link w:val="Header"/>
    <w:uiPriority w:val="99"/>
    <w:rsid w:val="00D95A6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76E2B30-0E49-4ED4-8017-6C7338F72384}"/>
</file>

<file path=customXml/itemProps2.xml><?xml version="1.0" encoding="utf-8"?>
<ds:datastoreItem xmlns:ds="http://schemas.openxmlformats.org/officeDocument/2006/customXml" ds:itemID="{AB867B33-6C59-4BA9-8EA6-AE37B1DD6CF8}"/>
</file>

<file path=customXml/itemProps3.xml><?xml version="1.0" encoding="utf-8"?>
<ds:datastoreItem xmlns:ds="http://schemas.openxmlformats.org/officeDocument/2006/customXml" ds:itemID="{03073353-BE75-4477-BF38-7E005C42DE09}"/>
</file>

<file path=docProps/app.xml><?xml version="1.0" encoding="utf-8"?>
<Properties xmlns="http://schemas.openxmlformats.org/officeDocument/2006/extended-properties" xmlns:vt="http://schemas.openxmlformats.org/officeDocument/2006/docPropsVTypes">
  <Template>Normal</Template>
  <TotalTime>427</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QKH-HIEU</cp:lastModifiedBy>
  <cp:revision>52</cp:revision>
  <dcterms:created xsi:type="dcterms:W3CDTF">2021-07-19T08:43:00Z</dcterms:created>
  <dcterms:modified xsi:type="dcterms:W3CDTF">2025-01-03T09:40:00Z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